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6F" w:rsidRPr="00AD5AA4" w:rsidRDefault="0084046F" w:rsidP="0084046F">
      <w:pPr>
        <w:rPr>
          <w:b/>
        </w:rPr>
      </w:pPr>
      <w:r w:rsidRPr="00AD5AA4">
        <w:rPr>
          <w:b/>
        </w:rPr>
        <w:t>Вопросы для подготовки к зачету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История выставочной деятельности в России.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Современная концепция развития </w:t>
      </w:r>
      <w:proofErr w:type="spellStart"/>
      <w:r>
        <w:t>выставочно</w:t>
      </w:r>
      <w:proofErr w:type="spellEnd"/>
      <w:r>
        <w:t>-ярмарочной деятельности в Российской Федерации.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Общая характеристика выставочной деятельности.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Основные определения выставочной деятельности.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Форма и содержание </w:t>
      </w:r>
      <w:proofErr w:type="spellStart"/>
      <w:r>
        <w:t>выставочно</w:t>
      </w:r>
      <w:proofErr w:type="spellEnd"/>
      <w:r>
        <w:t xml:space="preserve">-ярмарочных мероприятий.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Классификация выставок и ярмарок по различным основаниям.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Роль Торгово-промышленной палаты Российской Федерации в координации выставочной деятельности.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Критерии успеха выставки и планирование методов их достижения.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Особенности организации выставок различного уровня.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Выставки произведений искусств из коллекций музеев, не предназначенных для продажи.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Тематические узкоспециализированные выставки.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 Общеотраслевые выставки.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Выставки, организуемые в учреждении культуры.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Значение выставок в деятельности учреждения культуры.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Специфика подготовки и работы на зарубежных выставках.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Классификация международных выставок.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Основные выставочные организации мира, СНГ, России.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Сущность и особенности выставочного планирования.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Организационная структура управления выставкой.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Этапы планирования организационного процесса.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Организационные основы управления выставкой.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Организационный процесс выставки.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Организация рекламы выставки.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Авторские права выставочных экспонатов.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Бюджет, смета расходов выставки.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Подбор и обучение персонала выставки.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Требования Трудового кодекса РФ по подбору и обучению персонала.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Классификация выставочного оборудования.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Конструктивные особенности выставочного оборудования.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Мобильные и выставочные стенды.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Проектирование и способы изготовления экспонатов и выставочного оборудования.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Порядок установки и размещения выставочного оборудования.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Меры безопасности при работе с выставочным оборудованием.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Организация экспозиции выставки.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Содержательное и художественное оформление экспозиции.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Этапы работы над созданием экспозиции.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Стенд как место торговли.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Административная работа на выставке.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Специфика работы дизайнера, архитектора, художника-декоратора на выставке.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Художественные средства оформления выставки.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Система электроснабжения выставки.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 xml:space="preserve">Обеспечение связи на выставке. 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lastRenderedPageBreak/>
        <w:t>Оценка результатов работы выставки.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Освещение итогов выставки в средствах массовой информации.</w:t>
      </w:r>
    </w:p>
    <w:p w:rsidR="00AD5AA4" w:rsidRDefault="00AD5AA4" w:rsidP="00AD5AA4">
      <w:pPr>
        <w:pStyle w:val="a3"/>
        <w:numPr>
          <w:ilvl w:val="0"/>
          <w:numId w:val="2"/>
        </w:numPr>
      </w:pPr>
      <w:r>
        <w:t>Методические рекомендации по подготовке к экзамену</w:t>
      </w:r>
      <w:bookmarkStart w:id="0" w:name="_GoBack"/>
      <w:bookmarkEnd w:id="0"/>
    </w:p>
    <w:p w:rsidR="0084046F" w:rsidRDefault="0084046F" w:rsidP="00AD5AA4">
      <w:pPr>
        <w:pStyle w:val="a3"/>
        <w:numPr>
          <w:ilvl w:val="0"/>
          <w:numId w:val="2"/>
        </w:numPr>
      </w:pPr>
      <w:proofErr w:type="spellStart"/>
      <w:r>
        <w:t>Выставочн</w:t>
      </w:r>
      <w:proofErr w:type="gramStart"/>
      <w:r>
        <w:t>о</w:t>
      </w:r>
      <w:proofErr w:type="spellEnd"/>
      <w:r>
        <w:t>-</w:t>
      </w:r>
      <w:proofErr w:type="gramEnd"/>
      <w:r>
        <w:t xml:space="preserve"> ярмарочная деятельность</w:t>
      </w:r>
    </w:p>
    <w:p w:rsidR="0084046F" w:rsidRDefault="0084046F" w:rsidP="00AD5AA4">
      <w:pPr>
        <w:pStyle w:val="a3"/>
        <w:numPr>
          <w:ilvl w:val="0"/>
          <w:numId w:val="2"/>
        </w:numPr>
      </w:pPr>
      <w:r>
        <w:t>Художественные выставки</w:t>
      </w:r>
    </w:p>
    <w:p w:rsidR="0084046F" w:rsidRDefault="0084046F" w:rsidP="00AD5AA4">
      <w:pPr>
        <w:pStyle w:val="a3"/>
        <w:numPr>
          <w:ilvl w:val="0"/>
          <w:numId w:val="2"/>
        </w:numPr>
      </w:pPr>
      <w:r>
        <w:t>Музейные выставки</w:t>
      </w:r>
    </w:p>
    <w:p w:rsidR="0084046F" w:rsidRDefault="0084046F" w:rsidP="00AD5AA4">
      <w:pPr>
        <w:pStyle w:val="a3"/>
        <w:numPr>
          <w:ilvl w:val="0"/>
          <w:numId w:val="2"/>
        </w:numPr>
      </w:pPr>
      <w:r>
        <w:t>Презентация выставки</w:t>
      </w:r>
    </w:p>
    <w:p w:rsidR="0084046F" w:rsidRDefault="0084046F" w:rsidP="00AD5AA4">
      <w:pPr>
        <w:pStyle w:val="a3"/>
        <w:numPr>
          <w:ilvl w:val="0"/>
          <w:numId w:val="2"/>
        </w:numPr>
      </w:pPr>
      <w:r>
        <w:t>Проект выставки</w:t>
      </w:r>
    </w:p>
    <w:sectPr w:rsidR="0084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2B01"/>
    <w:multiLevelType w:val="hybridMultilevel"/>
    <w:tmpl w:val="25D2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E4267"/>
    <w:multiLevelType w:val="hybridMultilevel"/>
    <w:tmpl w:val="E11C767A"/>
    <w:lvl w:ilvl="0" w:tplc="3E9AF3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06"/>
    <w:rsid w:val="002B009E"/>
    <w:rsid w:val="00702506"/>
    <w:rsid w:val="007D00CE"/>
    <w:rsid w:val="0084046F"/>
    <w:rsid w:val="00A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2017-04-07T09:02:00Z</dcterms:created>
  <dcterms:modified xsi:type="dcterms:W3CDTF">2017-04-11T09:18:00Z</dcterms:modified>
</cp:coreProperties>
</file>